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64A" w:rsidRDefault="0060564A" w:rsidP="0060564A">
      <w:pPr>
        <w:shd w:val="clear" w:color="auto" w:fill="FFFFFF"/>
        <w:spacing w:after="0" w:line="234" w:lineRule="atLeast"/>
        <w:jc w:val="right"/>
        <w:rPr>
          <w:rFonts w:ascii="Arial" w:eastAsia="Times New Roman" w:hAnsi="Arial" w:cs="Arial"/>
          <w:b/>
          <w:bCs/>
          <w:color w:val="000000"/>
          <w:sz w:val="24"/>
          <w:szCs w:val="24"/>
          <w:lang w:val="pt-BR"/>
        </w:rPr>
      </w:pPr>
      <w:bookmarkStart w:id="0" w:name="chuong_pl_2_2"/>
      <w:r>
        <w:rPr>
          <w:rFonts w:ascii="Arial" w:eastAsia="Times New Roman" w:hAnsi="Arial" w:cs="Arial"/>
          <w:b/>
          <w:bCs/>
          <w:color w:val="000000"/>
          <w:sz w:val="24"/>
          <w:szCs w:val="24"/>
          <w:lang w:val="pt-BR"/>
        </w:rPr>
        <w:t xml:space="preserve">PHỤ LỤC II                                              </w:t>
      </w:r>
      <w:r w:rsidRPr="001023AF">
        <w:rPr>
          <w:rFonts w:ascii="Arial" w:eastAsia="Times New Roman" w:hAnsi="Arial" w:cs="Arial"/>
          <w:b/>
          <w:bCs/>
          <w:color w:val="000000"/>
          <w:sz w:val="24"/>
          <w:szCs w:val="24"/>
          <w:lang w:val="pt-BR"/>
        </w:rPr>
        <w:t>Mẫu số 02</w:t>
      </w:r>
      <w:bookmarkEnd w:id="0"/>
    </w:p>
    <w:p w:rsidR="0060564A" w:rsidRDefault="0060564A" w:rsidP="0060564A">
      <w:pPr>
        <w:shd w:val="clear" w:color="auto" w:fill="FFFFFF"/>
        <w:spacing w:after="0" w:line="234" w:lineRule="atLeast"/>
        <w:jc w:val="right"/>
        <w:rPr>
          <w:rFonts w:ascii="Arial" w:eastAsia="Times New Roman" w:hAnsi="Arial" w:cs="Arial"/>
          <w:b/>
          <w:bCs/>
          <w:color w:val="000000"/>
          <w:sz w:val="24"/>
          <w:szCs w:val="24"/>
          <w:lang w:val="pt-BR"/>
        </w:rPr>
      </w:pPr>
    </w:p>
    <w:p w:rsidR="0060564A" w:rsidRPr="001023AF" w:rsidRDefault="0060564A" w:rsidP="0060564A">
      <w:pPr>
        <w:shd w:val="clear" w:color="auto" w:fill="FFFFFF"/>
        <w:spacing w:after="0" w:line="234" w:lineRule="atLeast"/>
        <w:jc w:val="right"/>
        <w:rPr>
          <w:rFonts w:ascii="Arial" w:eastAsia="Times New Roman" w:hAnsi="Arial" w:cs="Arial"/>
          <w:color w:val="000000"/>
          <w:sz w:val="24"/>
          <w:szCs w:val="24"/>
          <w:lang w:val="pt-BR"/>
        </w:rPr>
      </w:pPr>
      <w:bookmarkStart w:id="1" w:name="_GoBack"/>
      <w:bookmarkEnd w:id="1"/>
    </w:p>
    <w:p w:rsidR="0060564A" w:rsidRPr="001023AF" w:rsidRDefault="0060564A" w:rsidP="0060564A">
      <w:pPr>
        <w:shd w:val="clear" w:color="auto" w:fill="FFFFFF"/>
        <w:spacing w:after="0" w:line="234" w:lineRule="atLeast"/>
        <w:jc w:val="center"/>
        <w:rPr>
          <w:rFonts w:ascii="Arial" w:eastAsia="Times New Roman" w:hAnsi="Arial" w:cs="Arial"/>
          <w:color w:val="000000"/>
          <w:sz w:val="24"/>
          <w:szCs w:val="24"/>
          <w:lang w:val="pt-BR"/>
        </w:rPr>
      </w:pPr>
      <w:bookmarkStart w:id="2" w:name="chuong_pl_2_2_name"/>
      <w:r w:rsidRPr="001023AF">
        <w:rPr>
          <w:rFonts w:ascii="Arial" w:eastAsia="Times New Roman" w:hAnsi="Arial" w:cs="Arial"/>
          <w:b/>
          <w:bCs/>
          <w:color w:val="000000"/>
          <w:sz w:val="24"/>
          <w:szCs w:val="24"/>
          <w:lang w:val="pt-BR"/>
        </w:rPr>
        <w:t>BÁO CÁO THẨM ĐỊNH</w:t>
      </w:r>
      <w:bookmarkEnd w:id="2"/>
      <w:r w:rsidRPr="001023AF">
        <w:rPr>
          <w:rFonts w:ascii="Arial" w:eastAsia="Times New Roman" w:hAnsi="Arial" w:cs="Arial"/>
          <w:b/>
          <w:bCs/>
          <w:color w:val="000000"/>
          <w:sz w:val="24"/>
          <w:szCs w:val="24"/>
          <w:lang w:val="pt-BR"/>
        </w:rPr>
        <w:br/>
      </w:r>
      <w:bookmarkStart w:id="3" w:name="chuong_pl_2_2_name_name"/>
      <w:r w:rsidRPr="001023AF">
        <w:rPr>
          <w:rFonts w:ascii="Arial" w:eastAsia="Times New Roman" w:hAnsi="Arial" w:cs="Arial"/>
          <w:b/>
          <w:bCs/>
          <w:color w:val="000000"/>
          <w:sz w:val="24"/>
          <w:szCs w:val="24"/>
          <w:lang w:val="pt-BR"/>
        </w:rPr>
        <w:t>BÁO CÁO NGHIÊN CỨU TIỀN KHẢ THI DỰ ÁN PPP</w:t>
      </w:r>
      <w:bookmarkEnd w:id="3"/>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Căn cứ tính chất, quy mô, lĩnh vực và nội dung của báo cáo nghiên cứu tiền khả thi (BCNCTKT), báo cáo thẩm định BCNCTKT được thực hiện theo các nội dung hướng dẫn dưới đây. Hội đồng thẩm định hoặc đơn vị được giao nhiệm vụ thẩm định cần đưa ra ý kiến nhận xét cụ thể đối với từng nội dung và đề xuất phương án giải quyết trong trường hợp có nội dung chưa đồng thuận hoặc cần bổ sung, hoàn thiện với đơn vị chuẩn bị dự án hoặc nhà đầu tư đề xuất dự án. Trường hợp áp dụng Mẫu này để thẩm định các nội dung điều chỉnh BCNCTKT, Hội đồng thẩm định hoặc đơn vị được giao nhiệm vụ thẩm định sắp xếp, lựa chọn các nội dung phù hợp.</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b/>
          <w:bCs/>
          <w:color w:val="000000"/>
          <w:sz w:val="24"/>
          <w:szCs w:val="24"/>
          <w:lang w:val="pt-BR"/>
        </w:rPr>
        <w:t>A. KHÁI QUÁT VỀ DỰ ÁN</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Trình bày thông tin khái quát về dự án, bao gồm:</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1. Tên dự án.</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2. Tên cơ quan có thẩm quyền.</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3. Tên đơn vị chuẩn bị dự án hoặc nhà đầu tư đề xuất dự án.</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4. Địa điểm, quy mô, công suất dự án, diện tích sử dụng đất.</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5. Yêu cầu về kỹ thuật.</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6. Dự kiến tổng mức đầu tư.</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7. Vốn nhà nước trong dự án PPP (nếu có).</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8. Loại hợp đồng dự án.</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9. Các chỉ tiêu chính thuộc phương án tài chính sơ bộ.</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xml:space="preserve">10. </w:t>
      </w:r>
      <w:proofErr w:type="spellStart"/>
      <w:r w:rsidRPr="001023AF">
        <w:rPr>
          <w:rFonts w:ascii="Arial" w:eastAsia="Times New Roman" w:hAnsi="Arial" w:cs="Arial"/>
          <w:color w:val="000000"/>
          <w:sz w:val="24"/>
          <w:szCs w:val="24"/>
        </w:rPr>
        <w:t>Thời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gian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thực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hiện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r w:rsidRPr="001023AF">
        <w:rPr>
          <w:rFonts w:ascii="Arial" w:eastAsia="Times New Roman" w:hAnsi="Arial" w:cs="Arial"/>
          <w:color w:val="000000"/>
          <w:sz w:val="24"/>
          <w:szCs w:val="24"/>
        </w:rPr>
        <w:t>.</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xml:space="preserve">11. </w:t>
      </w:r>
      <w:proofErr w:type="spellStart"/>
      <w:r w:rsidRPr="001023AF">
        <w:rPr>
          <w:rFonts w:ascii="Arial" w:eastAsia="Times New Roman" w:hAnsi="Arial" w:cs="Arial"/>
          <w:color w:val="000000"/>
          <w:sz w:val="24"/>
          <w:szCs w:val="24"/>
        </w:rPr>
        <w:t>Ưu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đãi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bảo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đảm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proofErr w:type="gramStart"/>
      <w:r w:rsidRPr="001023AF">
        <w:rPr>
          <w:rFonts w:ascii="Arial" w:eastAsia="Times New Roman" w:hAnsi="Arial" w:cs="Arial"/>
          <w:color w:val="000000"/>
          <w:sz w:val="24"/>
          <w:szCs w:val="24"/>
        </w:rPr>
        <w:t>tư</w:t>
      </w:r>
      <w:proofErr w:type="spellEnd"/>
      <w:proofErr w:type="gramEnd"/>
      <w:r w:rsidRPr="001023AF">
        <w:rPr>
          <w:rFonts w:ascii="Arial" w:eastAsia="Times New Roman" w:hAnsi="Arial" w:cs="Arial"/>
          <w:color w:val="000000"/>
          <w:sz w:val="24"/>
          <w:szCs w:val="24"/>
        </w:rPr>
        <w:t>.</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xml:space="preserve">12. </w:t>
      </w:r>
      <w:proofErr w:type="spellStart"/>
      <w:r w:rsidRPr="001023AF">
        <w:rPr>
          <w:rFonts w:ascii="Arial" w:eastAsia="Times New Roman" w:hAnsi="Arial" w:cs="Arial"/>
          <w:color w:val="000000"/>
          <w:sz w:val="24"/>
          <w:szCs w:val="24"/>
        </w:rPr>
        <w:t>Tên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bên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mời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hình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thức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lựa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chọn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nhà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thời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gian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tổ</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chức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lựa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chọn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nhà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 </w:t>
      </w:r>
      <w:r w:rsidRPr="001023AF">
        <w:rPr>
          <w:rFonts w:ascii="Arial" w:eastAsia="Times New Roman" w:hAnsi="Arial" w:cs="Arial"/>
          <w:i/>
          <w:iCs/>
          <w:color w:val="000000"/>
          <w:sz w:val="24"/>
          <w:szCs w:val="24"/>
        </w:rPr>
        <w:t>(</w:t>
      </w:r>
      <w:proofErr w:type="spellStart"/>
      <w:r w:rsidRPr="001023AF">
        <w:rPr>
          <w:rFonts w:ascii="Arial" w:eastAsia="Times New Roman" w:hAnsi="Arial" w:cs="Arial"/>
          <w:i/>
          <w:iCs/>
          <w:color w:val="000000"/>
          <w:sz w:val="24"/>
          <w:szCs w:val="24"/>
        </w:rPr>
        <w:t>đối</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với</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trường</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hợp</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dự</w:t>
      </w:r>
      <w:proofErr w:type="spellEnd"/>
      <w:r w:rsidRPr="001023AF">
        <w:rPr>
          <w:rFonts w:ascii="Arial" w:eastAsia="Times New Roman" w:hAnsi="Arial" w:cs="Arial"/>
          <w:i/>
          <w:iCs/>
          <w:color w:val="000000"/>
          <w:sz w:val="24"/>
          <w:szCs w:val="24"/>
        </w:rPr>
        <w:t xml:space="preserve"> </w:t>
      </w:r>
      <w:proofErr w:type="spellStart"/>
      <w:proofErr w:type="gramStart"/>
      <w:r w:rsidRPr="001023AF">
        <w:rPr>
          <w:rFonts w:ascii="Arial" w:eastAsia="Times New Roman" w:hAnsi="Arial" w:cs="Arial"/>
          <w:i/>
          <w:iCs/>
          <w:color w:val="000000"/>
          <w:sz w:val="24"/>
          <w:szCs w:val="24"/>
        </w:rPr>
        <w:t>án</w:t>
      </w:r>
      <w:proofErr w:type="spellEnd"/>
      <w:proofErr w:type="gram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ứng</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dụng</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công</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nghệ</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cao</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công</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nghệ</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mới</w:t>
      </w:r>
      <w:proofErr w:type="spellEnd"/>
      <w:r w:rsidRPr="001023AF">
        <w:rPr>
          <w:rFonts w:ascii="Arial" w:eastAsia="Times New Roman" w:hAnsi="Arial" w:cs="Arial"/>
          <w:i/>
          <w:iCs/>
          <w:color w:val="000000"/>
          <w:sz w:val="24"/>
          <w:szCs w:val="24"/>
        </w:rPr>
        <w:t>)</w:t>
      </w:r>
      <w:r w:rsidRPr="001023AF">
        <w:rPr>
          <w:rFonts w:ascii="Arial" w:eastAsia="Times New Roman" w:hAnsi="Arial" w:cs="Arial"/>
          <w:color w:val="000000"/>
          <w:sz w:val="24"/>
          <w:szCs w:val="24"/>
        </w:rPr>
        <w:t>.</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rPr>
      </w:pPr>
      <w:r w:rsidRPr="001023AF">
        <w:rPr>
          <w:rFonts w:ascii="Arial" w:eastAsia="Times New Roman" w:hAnsi="Arial" w:cs="Arial"/>
          <w:b/>
          <w:bCs/>
          <w:color w:val="000000"/>
          <w:sz w:val="24"/>
          <w:szCs w:val="24"/>
        </w:rPr>
        <w:t>B. TỔNG HỢP Ý KIẾN CỦA CÁC THÀNH VIÊN HỘI ĐỒNG THẨM ĐỊNH/CƠ QUAN, ĐƠN VỊ CÓ LIÊN QUAN</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rPr>
      </w:pPr>
      <w:proofErr w:type="spellStart"/>
      <w:proofErr w:type="gramStart"/>
      <w:r w:rsidRPr="001023AF">
        <w:rPr>
          <w:rFonts w:ascii="Arial" w:eastAsia="Times New Roman" w:hAnsi="Arial" w:cs="Arial"/>
          <w:color w:val="000000"/>
          <w:sz w:val="24"/>
          <w:szCs w:val="24"/>
        </w:rPr>
        <w:t>Tổng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ý </w:t>
      </w:r>
      <w:proofErr w:type="spellStart"/>
      <w:r w:rsidRPr="001023AF">
        <w:rPr>
          <w:rFonts w:ascii="Arial" w:eastAsia="Times New Roman" w:hAnsi="Arial" w:cs="Arial"/>
          <w:color w:val="000000"/>
          <w:sz w:val="24"/>
          <w:szCs w:val="24"/>
        </w:rPr>
        <w:t>kiến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thẩm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định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các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thành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viên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Hội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đồng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thẩm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định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đối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với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hồ</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sơ</w:t>
      </w:r>
      <w:proofErr w:type="spellEnd"/>
      <w:r w:rsidRPr="001023AF">
        <w:rPr>
          <w:rFonts w:ascii="Arial" w:eastAsia="Times New Roman" w:hAnsi="Arial" w:cs="Arial"/>
          <w:color w:val="000000"/>
          <w:sz w:val="24"/>
          <w:szCs w:val="24"/>
        </w:rPr>
        <w:t xml:space="preserve"> BCNCTKT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trong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đó</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nêu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rõ</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thành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viên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chủ</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trì</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thẩm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định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các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nội</w:t>
      </w:r>
      <w:proofErr w:type="spellEnd"/>
      <w:r w:rsidRPr="001023AF">
        <w:rPr>
          <w:rFonts w:ascii="Arial" w:eastAsia="Times New Roman" w:hAnsi="Arial" w:cs="Arial"/>
          <w:color w:val="000000"/>
          <w:sz w:val="24"/>
          <w:szCs w:val="24"/>
        </w:rPr>
        <w:t xml:space="preserve"> dung </w:t>
      </w:r>
      <w:proofErr w:type="spellStart"/>
      <w:r w:rsidRPr="001023AF">
        <w:rPr>
          <w:rFonts w:ascii="Arial" w:eastAsia="Times New Roman" w:hAnsi="Arial" w:cs="Arial"/>
          <w:color w:val="000000"/>
          <w:sz w:val="24"/>
          <w:szCs w:val="24"/>
        </w:rPr>
        <w:t>cụ</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thể</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tại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Mục</w:t>
      </w:r>
      <w:proofErr w:type="spellEnd"/>
      <w:r w:rsidRPr="001023AF">
        <w:rPr>
          <w:rFonts w:ascii="Arial" w:eastAsia="Times New Roman" w:hAnsi="Arial" w:cs="Arial"/>
          <w:color w:val="000000"/>
          <w:sz w:val="24"/>
          <w:szCs w:val="24"/>
        </w:rPr>
        <w:t xml:space="preserve"> C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Báo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cáo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này</w:t>
      </w:r>
      <w:proofErr w:type="spellEnd"/>
      <w:r w:rsidRPr="001023AF">
        <w:rPr>
          <w:rFonts w:ascii="Arial" w:eastAsia="Times New Roman" w:hAnsi="Arial" w:cs="Arial"/>
          <w:color w:val="000000"/>
          <w:sz w:val="24"/>
          <w:szCs w:val="24"/>
        </w:rPr>
        <w:t>.</w:t>
      </w:r>
      <w:proofErr w:type="gram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Trường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không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thành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lập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Hội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đồng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thẩm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định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vị</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được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giao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chủ</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trì</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thẩm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định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tổng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ý </w:t>
      </w:r>
      <w:proofErr w:type="spellStart"/>
      <w:r w:rsidRPr="001023AF">
        <w:rPr>
          <w:rFonts w:ascii="Arial" w:eastAsia="Times New Roman" w:hAnsi="Arial" w:cs="Arial"/>
          <w:color w:val="000000"/>
          <w:sz w:val="24"/>
          <w:szCs w:val="24"/>
        </w:rPr>
        <w:t>kiến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các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quan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vị</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có</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liên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quan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tại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Mục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này</w:t>
      </w:r>
      <w:proofErr w:type="spellEnd"/>
      <w:r w:rsidRPr="001023AF">
        <w:rPr>
          <w:rFonts w:ascii="Arial" w:eastAsia="Times New Roman" w:hAnsi="Arial" w:cs="Arial"/>
          <w:color w:val="000000"/>
          <w:sz w:val="24"/>
          <w:szCs w:val="24"/>
        </w:rPr>
        <w:t>.</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rPr>
      </w:pPr>
      <w:r w:rsidRPr="001023AF">
        <w:rPr>
          <w:rFonts w:ascii="Arial" w:eastAsia="Times New Roman" w:hAnsi="Arial" w:cs="Arial"/>
          <w:b/>
          <w:bCs/>
          <w:color w:val="000000"/>
          <w:sz w:val="24"/>
          <w:szCs w:val="24"/>
        </w:rPr>
        <w:t>C. TỔNG HỢP KẾT QUẢ THẨM ĐỊNH</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b/>
          <w:bCs/>
          <w:color w:val="000000"/>
          <w:sz w:val="24"/>
          <w:szCs w:val="24"/>
          <w:lang w:val="pt-BR"/>
        </w:rPr>
        <w:t>I. KIỂM TRA SƠ BỘ HỒ SƠ</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Đánh giá về kết luận sơ bộ về tính đầy đủ về thành phần, nội dung hồ sơ.</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b/>
          <w:bCs/>
          <w:color w:val="000000"/>
          <w:sz w:val="24"/>
          <w:szCs w:val="24"/>
          <w:lang w:val="pt-BR"/>
        </w:rPr>
        <w:t>II. THẨM ĐỊNH VỀ NỘI DUNG CỦA HỒ SƠ</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Sự phù hợp với điều kiện lựa chọn dự án để đầu tư theo phương thức PPP</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Đánh giá sự phù hợp của BCNCTKT với điều kiện lựa chọn dự án để đầu tư theo phương thức PPP quy định tại khoản 1 Điều 14 của Luật PPP, gồm:</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lastRenderedPageBreak/>
        <w:t>- Tính cần thiết phải đầu tư dự án.</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Sự phù hợp về lĩnh vực đầu tư theo quy định của Luật PPP.</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Không trùng lặp với dự án PPP đã có quyết định chủ trương đầu tư hoặc quyết định phê duyệt dự án.</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Lợi thế của việc đầu tư dự án theo phương thức PPP so với các hình thức đầu tư khác.</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Khả năng bố trí vốn nhà nước trong trường hợp có nhu cầu sử dụng vốn nhà nước.</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2. Sự phù hợp với căn cứ lập BCNCTKT</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Đánh giá sự phù hợp của BCNCTKT với các căn cứ quy định tại khoản 2 Điều 14 của Luật PPP, gồm:</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Sự phù hợp của dự án với chiến lược, kế hoạch phát triển kinh tế - xã hội của quốc gia và quy hoạch có liên quan theo quy định của pháp luật về quy hoạch.</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Sự phù hợp của dự án với quy định của Luật PPP và pháp luật chuyên ngành về lĩnh vực đầu tư.</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Sự phù hợp của dự án với các văn bản pháp lý có liên quan (nếu có).</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3. Hiệu quả đầu tư và khả năng thu hồi vốn cho nhà đầu tư</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a) Hiệu quả đầu tư của dự án</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Đánh giá sự phù hợp của phương án sơ bộ về kỹ thuật, công nghệ.</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Trường hợp dự án có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đến môi trường mức độ cao theo pháp luật về bảo vệ môi trường, xem xét sự phù hợp của các nội dung này.</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Trường hợp dự án được đề xuất phân chia thành các dự án thành phần, xem xét sự phù hợp của đề xuất.</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Xem xét tính hợp lý của các yếu tố chi phí, lợi ích về mặt kinh tế - xã hội, tỷ số lợi ích trên chi phí về kinh tế của dự án (BCR). Dự án được đánh giá là đạt hiệu quả kinh tế - xã hội khi BCR lớn hơn 1 (&gt;1). Trường hợp BCNCTKT không xác định BCR, đánh giá tính hợp lý của các nhóm yếu tố còn lại.</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Xem xét sự phù hợp của phần thuyết minh về tác động của dự án đối với môi trường theo quy định của pháp luật về bảo vệ môi trường, xã hội và các nội dung khác.</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Đánh giá các yêu cầu bảo đảm quốc phòng, an ninh quốc gia, bảo vệ bí mật nhà nước của dự án, căn cứ ý kiến của Bộ Quốc phòng, Bộ Công an.</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b) Khả năng thu hồi vốn cho nhà đầu tư</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Xem xét tính hợp lý của các yếu tố tài chính đầu vào, các chỉ tiêu tài chính và sơ bộ phương án tài chính của dự án. Dự án đạt hiệu quả tài chính khi NPV dương (&gt;0).</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Đánh giá sự phù hợp của các hình thức ưu đãi, bảo đảm đầu tư nhằm làm tăng tính khả thi của dự án theo quy định của pháp luật về đầu tư, đầu tư PPP.</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4. Sự phù hợp khi áp dụng cơ chế chia sẻ phần giảm doanh thu đối với dự án</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Trường hợp BCNCTKT đề xuất áp dụng cơ chế chia sẻ phần giảm doanh thu, căn cứ quy mô và tính chất của dự án, đánh giá các nội dung sau:</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lastRenderedPageBreak/>
        <w:t>- Sự đáp ứng đối với các điều kiện áp dụng cơ chế chia sẻ phần giảm doanh thu theo quy định của pháp luật.</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Sự phù hợp của phương án chia sẻ phần giảm doanh thu.</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Khả năng cân đối chi phí xử lý rủi ro trong phạm vi nguồn dự phòng ngân sách nhà nước, biện pháp bảo đảm cân đối ngân sách nhà nước trong trường hợp chi trả, căn cứ ý kiến của cơ quan tài chính cấp tương ứng.</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5. Nguồn vốn và khả năng cân đối vốn</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Đối với dự án có sử dụng vốn đầu tư công; tổng hợp báo cáo thẩm định nguồn vốn và khả năng cân đối vốn của cơ quan chuyên môn quản lý đầu tư công theo pháp luật về đầu tư công.</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Đối với dự án sử dụng nguồn vốn chi thường xuyên, nguồn thu hợp pháp dành để chi thường xuyên của cơ quan nhà nước, đơn vị sự nghiệp công lập để thanh toán cho doanh nghiệp dự án: tổng hợp ý kiến thẩm định của cơ quan tài chính cấp tương ứng theo quy định của pháp luật về ngân sách nhà nước.</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Đối với dự án sử dụng giá trị tài sản công làm phần Nhà nước tham gia: Tổng hợp giá trị tài sản công được xác định trong quyết định sử dụng tài sản công để tham gia dự án PPP.</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6. Sự phù hợp của loại hợp đồng dự án</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Đánh giá sự phù hợp của loại hợp đồng dự án trên cơ sở xem xét các yếu tố:</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Nguồn thu và khả năng thu hồi vốn cho nhà đầu tư.</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Thời gian hoàn vốn và thời hạn hợp đồng dự án.</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Tính hợp lý trong việc phân chia trách nhiệm của các bên trong quá trình triển khai dự án và các biện pháp phòng ngừa, giảm thiểu rủi ro, bao gồm rủi ro đối với ngân sách của trung ương và địa phương, khả năng chi trả của cộng đồng người sử dụng sản phẩm, dịch vụ công của dự án.</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7. Hình thức lựa chọn nhà đầu tư</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Trường hợp BCNCTKT đề xuất áp dụng đàm phán cạnh tranh do dự án được xác định là dự án ứng dụng công nghệ cao, công nghệ mới, đánh giá sự phù hợp đề xuất này và thời gian đàm phán cạnh tranh.</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Trường hợp BCNCTKT đề xuất áp dụng lựa chọn nhà đầu tư trong nước hoặc đề xuất báo cáo Thủ tướng Chính phủ cho phép áp dụng chỉ định nhà đầu tư do dự án cần bảo đảm yếu tố quốc phòng, an ninh quốc gia, bảo vệ bí mật nhà nước, đánh giá sự phù hợp của đề xuất này.</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Trường hợp BCNCTKT đề xuất áp dụng lựa chọn nhà đầu tư trong nước do dự án thuộc ngành, nghề chưa được tiếp cận thị trường đối với nhà đầu tư nước ngoài theo pháp luật về đầu tư, đánh giá sự phù hợp của đề xuất này.</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8. Nội dung khác</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Xem xét sự phù hợp của các nội dung cần khảo sát sự quan tâm của nhà đầu tư. Trường hợp dự án xuất hiện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mức độ cao đến môi trường theo pháp luật về bảo vệ môi trường, xem xét sự phù hợp các yêu cầu sơ bộ về năng lực, kinh nghiệm của nhà đầu tư.</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b/>
          <w:bCs/>
          <w:color w:val="000000"/>
          <w:sz w:val="24"/>
          <w:szCs w:val="24"/>
          <w:lang w:val="pt-BR"/>
        </w:rPr>
        <w:t>D. NHẬN XÉT VÀ KIẾN NGHỊ</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lastRenderedPageBreak/>
        <w:t>Trên cơ sở các phân tích nêu trên, nhận xét tổng quát về BCNCTKT và nêu rõ kiến nghị theo một trong hai trường hợp sau đây:</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1. Trường hợp BCNCTKT phù hợp với quy định của pháp luật và được đánh giá là đủ điều kiện để quyết định chủ trương đầu tư theo phương thức PPP, kiến nghị cấp có thẩm quyền:</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a) Phê duyệt chủ trương đầu tư dự án. Đối với dự án do nhà đầu tư đề xuất, phê duyệt chủ trương đầu tư dự án đồng thời kiến nghị cấp có thẩm quyền giao nhà đầu tư tổ chức lập BCNCKT.</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b) Giao đơn vị chuẩn bị dự án căn cứ ý kiến thẩm định BCNCTKT hoàn thiện các nội dung liên quan trong thông báo mới khảo sát và tổ chức khảo sát theo quy định tại Điều 25 của Nghị định này; hoàn thiện BCNCKT.</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2. Trường hợp không thống nhất với nội dung của BCNCTKT, báo cáo cấp có thẩm quyền xem xét, quyết định theo một trong hai phương án sau:</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a) Phương án 1: Yêu cầu đơn vị chuẩn bị dự án, nhà đầu tư điều chỉnh BCNCTKT.</w:t>
      </w:r>
    </w:p>
    <w:p w:rsidR="0060564A" w:rsidRPr="001023AF" w:rsidRDefault="0060564A" w:rsidP="0060564A">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b) Phương án 2: Không phê duyệt BCNCTKT.</w:t>
      </w:r>
    </w:p>
    <w:p w:rsidR="005806F9" w:rsidRPr="0060564A" w:rsidRDefault="005806F9">
      <w:pPr>
        <w:rPr>
          <w:lang w:val="pt-BR"/>
        </w:rPr>
      </w:pPr>
    </w:p>
    <w:sectPr w:rsidR="005806F9" w:rsidRPr="0060564A" w:rsidSect="0060564A">
      <w:pgSz w:w="12240" w:h="15840"/>
      <w:pgMar w:top="851"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64A"/>
    <w:rsid w:val="005806F9"/>
    <w:rsid w:val="00605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1282</Words>
  <Characters>7313</Characters>
  <Application>Microsoft Office Word</Application>
  <DocSecurity>0</DocSecurity>
  <Lines>60</Lines>
  <Paragraphs>17</Paragraphs>
  <ScaleCrop>false</ScaleCrop>
  <Company/>
  <LinksUpToDate>false</LinksUpToDate>
  <CharactersWithSpaces>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c:creator>
  <cp:lastModifiedBy>VAN</cp:lastModifiedBy>
  <cp:revision>1</cp:revision>
  <dcterms:created xsi:type="dcterms:W3CDTF">2021-05-24T09:27:00Z</dcterms:created>
  <dcterms:modified xsi:type="dcterms:W3CDTF">2021-05-24T09:28:00Z</dcterms:modified>
</cp:coreProperties>
</file>